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3D2F4" w14:textId="77777777" w:rsidR="00CA48A2" w:rsidRDefault="00CA48A2" w:rsidP="00CA48A2">
      <w:pPr>
        <w:pStyle w:val="font-claude-response-body"/>
      </w:pPr>
      <w:r>
        <w:rPr>
          <w:rStyle w:val="Strong"/>
        </w:rPr>
        <w:t>What you're looking at on that bill</w:t>
      </w:r>
    </w:p>
    <w:p w14:paraId="4320C1E4" w14:textId="493460AA" w:rsidR="00CA48A2" w:rsidRDefault="00CA48A2" w:rsidP="00CA48A2">
      <w:pPr>
        <w:pStyle w:val="font-claude-response-body"/>
        <w:rPr>
          <w:rStyle w:val="inline-flex"/>
        </w:rPr>
      </w:pPr>
      <w:r>
        <w:t xml:space="preserve">This is not a residential meter. The label "Electric Frozen Commercial Service (ETL)" tells you exactly what it is: ETL is CSU's Industrial Service — 1,000 kWh/Day minimum rate schedule, and this account is on a </w:t>
      </w:r>
      <w:r>
        <w:rPr>
          <w:rStyle w:val="Strong"/>
        </w:rPr>
        <w:t>frozen legacy version</w:t>
      </w:r>
      <w:r>
        <w:t xml:space="preserve"> of it. When CSU rolled out Energy-Wise TOD rates starting October 2025, they froze participation in the ETL rate schedule and began transitioning customers to the applicable Energy-Wise TOD rate schedule — meaning this account is on a rate that's being phased out. Denver Land Company is almost certainly one of those customers scheduled for transition. </w:t>
      </w:r>
      <w:hyperlink r:id="rId4" w:tgtFrame="_blank" w:history="1">
        <w:r>
          <w:rPr>
            <w:rStyle w:val="text-nowrap"/>
            <w:color w:val="0000FF"/>
            <w:u w:val="single"/>
          </w:rPr>
          <w:t>Colorado General Assembly</w:t>
        </w:r>
      </w:hyperlink>
      <w:r>
        <w:rPr>
          <w:rStyle w:val="inline-flex"/>
        </w:rPr>
        <w:t xml:space="preserve"> </w:t>
      </w:r>
      <w:hyperlink r:id="rId5" w:tgtFrame="_blank" w:history="1">
        <w:r>
          <w:rPr>
            <w:rStyle w:val="text-nowrap"/>
            <w:color w:val="0000FF"/>
            <w:u w:val="single"/>
          </w:rPr>
          <w:t>Colorado General Assembly</w:t>
        </w:r>
      </w:hyperlink>
    </w:p>
    <w:p w14:paraId="287B6FE3" w14:textId="77777777" w:rsidR="00CA48A2" w:rsidRDefault="00CA48A2" w:rsidP="00CA48A2">
      <w:pPr>
        <w:pStyle w:val="font-claude-response-body"/>
      </w:pPr>
      <w:r>
        <w:rPr>
          <w:rStyle w:val="Strong"/>
        </w:rPr>
        <w:t>Why the ECA rates look different from the residential rate sheet</w:t>
      </w:r>
    </w:p>
    <w:p w14:paraId="22801313" w14:textId="77777777" w:rsidR="00CA48A2" w:rsidRDefault="00CA48A2" w:rsidP="00CA48A2">
      <w:pPr>
        <w:pStyle w:val="font-claude-response-body"/>
      </w:pPr>
      <w:r>
        <w:t>The residential rate sheet you uploaded uses ETR/ETR-P/ETR-F — those are the new Energy-Wise residential rate options effective October 2025. The bill you're looking at is a commercial/industrial account still on the old frozen ETL structure, which has different ECA rates: $0.0411/kWh on-peak and $0.0206/kWh off-peak. Those figures match the ECA line items on the residential ETR rate sheet exactly — they're the same underlying ECA adders, just being applied to a different base rate structure. The key difference is everything else: the base energy charges, the access charge, and most importantly the demand charges.</w:t>
      </w:r>
    </w:p>
    <w:p w14:paraId="26687331" w14:textId="77777777" w:rsidR="00CA48A2" w:rsidRDefault="00CA48A2" w:rsidP="00CA48A2">
      <w:pPr>
        <w:pStyle w:val="font-claude-response-body"/>
      </w:pPr>
      <w:r>
        <w:rPr>
          <w:rStyle w:val="Strong"/>
        </w:rPr>
        <w:t>The demand charges — this is the critical issue for TEC</w:t>
      </w:r>
    </w:p>
    <w:p w14:paraId="1017F23D" w14:textId="77777777" w:rsidR="00CA48A2" w:rsidRDefault="00CA48A2" w:rsidP="00CA48A2">
      <w:pPr>
        <w:pStyle w:val="font-claude-response-body"/>
      </w:pPr>
      <w:r>
        <w:t xml:space="preserve">The bill shows two demand charge components. The on-peak demand charge at $0.8954/kW/day produced a $2,464.86 charge, and the off-peak demand charge at $0.582/kW/day produced a $63.15 charge plus a $125.93 minimum charge. Combined </w:t>
      </w:r>
      <w:proofErr w:type="gramStart"/>
      <w:r>
        <w:t>those demand</w:t>
      </w:r>
      <w:proofErr w:type="gramEnd"/>
      <w:r>
        <w:t xml:space="preserve"> charges represent roughly </w:t>
      </w:r>
      <w:r>
        <w:rPr>
          <w:rStyle w:val="Strong"/>
        </w:rPr>
        <w:t>$2,650 of a $4,142 pre-tax bill — about 64% of the electricity cost before taxes.</w:t>
      </w:r>
    </w:p>
    <w:p w14:paraId="01B4B850" w14:textId="77777777" w:rsidR="00CA48A2" w:rsidRDefault="00CA48A2" w:rsidP="00CA48A2">
      <w:pPr>
        <w:pStyle w:val="font-claude-response-body"/>
      </w:pPr>
      <w:r>
        <w:t xml:space="preserve">This is the fundamental problem with the business model on this site as currently structured. The chargers are drawing load on a meter that already carries a very large demand charge footprint — 1,506 kWh/day average usage across the whole building. If your 4 L2 chargers add even modest on-peak demand to this meter, the marginal cost to the building isn't just the energy consumed — it's the demand charge spike triggered by any peak draw during the 5–9 PM window. At 7.7kW per port, four simultaneous on-peak sessions add 30.8kW of demand. At $0.8954/kW/day × 31 days, that's roughly </w:t>
      </w:r>
      <w:r>
        <w:rPr>
          <w:rStyle w:val="Strong"/>
        </w:rPr>
        <w:t>$856/month in additional demand charges</w:t>
      </w:r>
      <w:r>
        <w:t xml:space="preserve"> for a single month where all four chargers happened to run simultaneously during on-peak hours.</w:t>
      </w:r>
    </w:p>
    <w:p w14:paraId="0D0F7BFE" w14:textId="77777777" w:rsidR="00CA48A2" w:rsidRDefault="00CA48A2" w:rsidP="00CA48A2">
      <w:pPr>
        <w:pStyle w:val="font-claude-response-body"/>
      </w:pPr>
      <w:r>
        <w:rPr>
          <w:rStyle w:val="Strong"/>
        </w:rPr>
        <w:t>What this means practically for TEC</w:t>
      </w:r>
    </w:p>
    <w:p w14:paraId="26146D79" w14:textId="77777777" w:rsidR="00CA48A2" w:rsidRDefault="00CA48A2" w:rsidP="00CA48A2">
      <w:pPr>
        <w:pStyle w:val="font-claude-response-body"/>
      </w:pPr>
      <w:r>
        <w:t>Your cost allocation arrangement with Denver Land Company needs to account for demand charges, not just energy consumption. A simple sub-meter tracking kWh consumed by the chargers will not capture the true cost to the building — you need either a demand-capable sub-meter or a negotiated flat rate that bakes in demand charge exposure. The $0.11/kWh blended cost assumption from earlier is almost certainly too low once demand charges are properly allocated to the charging load.</w:t>
      </w:r>
    </w:p>
    <w:p w14:paraId="78B87188" w14:textId="77777777" w:rsidR="00CA48A2" w:rsidRDefault="00CA48A2" w:rsidP="00CA48A2">
      <w:pPr>
        <w:pStyle w:val="font-claude-response-body"/>
      </w:pPr>
      <w:r>
        <w:lastRenderedPageBreak/>
        <w:t>The cleaner longer-term solution — and worth raising with Denver Land Company — is getting a dedicated meter for the EV charging load. CSU can do this. A dedicated meter isolates the charger demand from the building's existing demand, and under the Energy-Wise transition CSU is already pushing commercial customers toward, you'd likely end up on a commercial TOU rate where you can manage costs by steering residents toward off-peak charging. That dedicated meter conversation is also the first step toward any future managed charging program you'd pitch to CSU as a utility.</w:t>
      </w:r>
    </w:p>
    <w:p w14:paraId="28D100E4" w14:textId="77777777" w:rsidR="00CA48A2" w:rsidRDefault="00CA48A2" w:rsidP="00CA48A2">
      <w:pPr>
        <w:pStyle w:val="font-claude-response-body"/>
      </w:pPr>
      <w:r>
        <w:rPr>
          <w:rStyle w:val="Strong"/>
        </w:rPr>
        <w:t>What we know for certain</w:t>
      </w:r>
    </w:p>
    <w:p w14:paraId="751BE8B7" w14:textId="3050129E" w:rsidR="00CA48A2" w:rsidRDefault="00CA48A2" w:rsidP="00CA48A2">
      <w:pPr>
        <w:pStyle w:val="font-claude-response-body"/>
      </w:pPr>
      <w:r>
        <w:t xml:space="preserve">CSU froze participation in the ETL rate schedule and is transitioning those customers to the applicable Energy-Wise TOD rate schedule. The commercial/industrial equivalent of the Energy-Wise transition is called </w:t>
      </w:r>
      <w:r>
        <w:rPr>
          <w:rStyle w:val="Strong"/>
        </w:rPr>
        <w:t>ETW</w:t>
      </w:r>
      <w:r>
        <w:t xml:space="preserve"> — the Industrial Service Time-of-Day rate. CSU's stated goal is to have all customers on the Energy-Wise time-of-day rate by early 2026. Denver Land Company should have already received or will shortly receive a 30-day advance notice letter before their account transitions. </w:t>
      </w:r>
      <w:hyperlink r:id="rId6" w:tgtFrame="_blank" w:history="1">
        <w:r>
          <w:rPr>
            <w:rStyle w:val="text-nowrap"/>
            <w:color w:val="0000FF"/>
            <w:u w:val="single"/>
          </w:rPr>
          <w:t>Colorado General Assembly</w:t>
        </w:r>
      </w:hyperlink>
      <w:r>
        <w:rPr>
          <w:rStyle w:val="inline-flex"/>
        </w:rPr>
        <w:t xml:space="preserve"> </w:t>
      </w:r>
      <w:hyperlink r:id="rId7" w:tgtFrame="_blank" w:history="1">
        <w:r>
          <w:rPr>
            <w:rStyle w:val="text-nowrap"/>
            <w:color w:val="0000FF"/>
            <w:u w:val="single"/>
          </w:rPr>
          <w:t>Colorado</w:t>
        </w:r>
      </w:hyperlink>
    </w:p>
    <w:p w14:paraId="4ABBB608" w14:textId="77777777" w:rsidR="00CA48A2" w:rsidRDefault="00CA48A2" w:rsidP="00CA48A2">
      <w:pPr>
        <w:pStyle w:val="font-claude-response-body"/>
      </w:pPr>
      <w:r>
        <w:rPr>
          <w:rStyle w:val="Strong"/>
        </w:rPr>
        <w:t>The structural shift — and why it matters for your client</w:t>
      </w:r>
    </w:p>
    <w:p w14:paraId="1E432CFF" w14:textId="77777777" w:rsidR="00CA48A2" w:rsidRDefault="00CA48A2" w:rsidP="00CA48A2">
      <w:pPr>
        <w:pStyle w:val="font-claude-response-body"/>
      </w:pPr>
      <w:r>
        <w:t>The current ETL frozen rate has two separate demand charge components — on-peak kW and off-peak kW — billed per day. That's what's generating the $2,464 and $63 demand charge lines on the current bill. The new Energy-Wise rate places a higher cost on power used between 5 PM and 9 PM on weekdays and lower costs outside that window.</w:t>
      </w:r>
    </w:p>
    <w:p w14:paraId="1221EF2F" w14:textId="77777777" w:rsidR="00CA48A2" w:rsidRDefault="00CA48A2" w:rsidP="00CA48A2">
      <w:pPr>
        <w:pStyle w:val="font-claude-response-body"/>
      </w:pPr>
      <w:r>
        <w:t xml:space="preserve">The critical question for an industrial customer like this building is whether the ETW rate restructures the demand charge component or simply adds TOU energy pricing on top of existing demand charges. Commercial and industrial TOU rates typically retain demand charges — they don't eliminate them. The demand charge structure may </w:t>
      </w:r>
      <w:proofErr w:type="gramStart"/>
      <w:r>
        <w:t>actually become</w:t>
      </w:r>
      <w:proofErr w:type="gramEnd"/>
      <w:r>
        <w:t xml:space="preserve"> more punitive under a TOU framework if on-peak demand is now priced separately and at a higher rate, rather than blended across all hours.</w:t>
      </w:r>
    </w:p>
    <w:p w14:paraId="250DDF1C" w14:textId="77777777" w:rsidR="00CA48A2" w:rsidRDefault="00CA48A2" w:rsidP="00CA48A2">
      <w:pPr>
        <w:pStyle w:val="font-claude-response-body"/>
      </w:pPr>
      <w:r>
        <w:rPr>
          <w:rStyle w:val="Strong"/>
        </w:rPr>
        <w:t>The honest answer on specific rates</w:t>
      </w:r>
    </w:p>
    <w:p w14:paraId="2034FDB4" w14:textId="77777777" w:rsidR="00CA48A2" w:rsidRDefault="00CA48A2" w:rsidP="00CA48A2">
      <w:pPr>
        <w:pStyle w:val="font-claude-response-body"/>
      </w:pPr>
      <w:r>
        <w:t>The ETW tariff sheets aren't publicly surfaced in a form I can pull right now — they're in CSU's City Council Volume No. 6 tariff filing and would require accessing the specific revised sheets. The most direct path is to have Denver Land Company call their CSU account manager directly and ask for a bill comparison showing their current ETL charges versus projected ETW charges — CSU is required to provide this before any forced transition. CSU sends existing customers a letter 30 days before the implementation of the new program, which should include that comparison.</w:t>
      </w:r>
    </w:p>
    <w:p w14:paraId="705DE3DA" w14:textId="77777777" w:rsidR="00CA48A2" w:rsidRDefault="00CA48A2" w:rsidP="00CA48A2">
      <w:pPr>
        <w:pStyle w:val="font-claude-response-body"/>
      </w:pPr>
    </w:p>
    <w:p w14:paraId="4FE1BD84" w14:textId="77777777" w:rsidR="005F3CA5" w:rsidRDefault="005F3CA5"/>
    <w:sectPr w:rsidR="005F3C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8A2"/>
    <w:rsid w:val="00065B72"/>
    <w:rsid w:val="000D2BF8"/>
    <w:rsid w:val="00354F63"/>
    <w:rsid w:val="005003AD"/>
    <w:rsid w:val="005F3CA5"/>
    <w:rsid w:val="006719DF"/>
    <w:rsid w:val="00755686"/>
    <w:rsid w:val="008D4665"/>
    <w:rsid w:val="00A54148"/>
    <w:rsid w:val="00AA03CB"/>
    <w:rsid w:val="00C907DE"/>
    <w:rsid w:val="00CA48A2"/>
    <w:rsid w:val="00DB3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5D69EF"/>
  <w15:chartTrackingRefBased/>
  <w15:docId w15:val="{D37F3A6D-4546-E649-B7FB-7FDFCF8A8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48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48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48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48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48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48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48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48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48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48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48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48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48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48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48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48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48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48A2"/>
    <w:rPr>
      <w:rFonts w:eastAsiaTheme="majorEastAsia" w:cstheme="majorBidi"/>
      <w:color w:val="272727" w:themeColor="text1" w:themeTint="D8"/>
    </w:rPr>
  </w:style>
  <w:style w:type="paragraph" w:styleId="Title">
    <w:name w:val="Title"/>
    <w:basedOn w:val="Normal"/>
    <w:next w:val="Normal"/>
    <w:link w:val="TitleChar"/>
    <w:uiPriority w:val="10"/>
    <w:qFormat/>
    <w:rsid w:val="00CA48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48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48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48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48A2"/>
    <w:pPr>
      <w:spacing w:before="160"/>
      <w:jc w:val="center"/>
    </w:pPr>
    <w:rPr>
      <w:i/>
      <w:iCs/>
      <w:color w:val="404040" w:themeColor="text1" w:themeTint="BF"/>
    </w:rPr>
  </w:style>
  <w:style w:type="character" w:customStyle="1" w:styleId="QuoteChar">
    <w:name w:val="Quote Char"/>
    <w:basedOn w:val="DefaultParagraphFont"/>
    <w:link w:val="Quote"/>
    <w:uiPriority w:val="29"/>
    <w:rsid w:val="00CA48A2"/>
    <w:rPr>
      <w:i/>
      <w:iCs/>
      <w:color w:val="404040" w:themeColor="text1" w:themeTint="BF"/>
    </w:rPr>
  </w:style>
  <w:style w:type="paragraph" w:styleId="ListParagraph">
    <w:name w:val="List Paragraph"/>
    <w:basedOn w:val="Normal"/>
    <w:uiPriority w:val="34"/>
    <w:qFormat/>
    <w:rsid w:val="00CA48A2"/>
    <w:pPr>
      <w:ind w:left="720"/>
      <w:contextualSpacing/>
    </w:pPr>
  </w:style>
  <w:style w:type="character" w:styleId="IntenseEmphasis">
    <w:name w:val="Intense Emphasis"/>
    <w:basedOn w:val="DefaultParagraphFont"/>
    <w:uiPriority w:val="21"/>
    <w:qFormat/>
    <w:rsid w:val="00CA48A2"/>
    <w:rPr>
      <w:i/>
      <w:iCs/>
      <w:color w:val="0F4761" w:themeColor="accent1" w:themeShade="BF"/>
    </w:rPr>
  </w:style>
  <w:style w:type="paragraph" w:styleId="IntenseQuote">
    <w:name w:val="Intense Quote"/>
    <w:basedOn w:val="Normal"/>
    <w:next w:val="Normal"/>
    <w:link w:val="IntenseQuoteChar"/>
    <w:uiPriority w:val="30"/>
    <w:qFormat/>
    <w:rsid w:val="00CA48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48A2"/>
    <w:rPr>
      <w:i/>
      <w:iCs/>
      <w:color w:val="0F4761" w:themeColor="accent1" w:themeShade="BF"/>
    </w:rPr>
  </w:style>
  <w:style w:type="character" w:styleId="IntenseReference">
    <w:name w:val="Intense Reference"/>
    <w:basedOn w:val="DefaultParagraphFont"/>
    <w:uiPriority w:val="32"/>
    <w:qFormat/>
    <w:rsid w:val="00CA48A2"/>
    <w:rPr>
      <w:b/>
      <w:bCs/>
      <w:smallCaps/>
      <w:color w:val="0F4761" w:themeColor="accent1" w:themeShade="BF"/>
      <w:spacing w:val="5"/>
    </w:rPr>
  </w:style>
  <w:style w:type="paragraph" w:customStyle="1" w:styleId="font-claude-response-body">
    <w:name w:val="font-claude-response-body"/>
    <w:basedOn w:val="Normal"/>
    <w:rsid w:val="00CA48A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A48A2"/>
    <w:rPr>
      <w:b/>
      <w:bCs/>
    </w:rPr>
  </w:style>
  <w:style w:type="character" w:customStyle="1" w:styleId="inline-flex">
    <w:name w:val="inline-flex"/>
    <w:basedOn w:val="DefaultParagraphFont"/>
    <w:rsid w:val="00CA48A2"/>
  </w:style>
  <w:style w:type="character" w:customStyle="1" w:styleId="text-nowrap">
    <w:name w:val="text-nowrap"/>
    <w:basedOn w:val="DefaultParagraphFont"/>
    <w:rsid w:val="00CA48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ontent.leg.colorado.gov/sites/default/files/documents/2025A/bills/2025a_1267_rer.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eg.colorado.gov/bills/hb24-1173" TargetMode="External"/><Relationship Id="rId5" Type="http://schemas.openxmlformats.org/officeDocument/2006/relationships/hyperlink" Target="http://leg.colorado.gov/bills/hb24-1173" TargetMode="External"/><Relationship Id="rId4" Type="http://schemas.openxmlformats.org/officeDocument/2006/relationships/hyperlink" Target="http://leg.colorado.gov/bills/hb24-1173"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965</Words>
  <Characters>4984</Characters>
  <Application>Microsoft Office Word</Application>
  <DocSecurity>0</DocSecurity>
  <Lines>92</Lines>
  <Paragraphs>39</Paragraphs>
  <ScaleCrop>false</ScaleCrop>
  <Company/>
  <LinksUpToDate>false</LinksUpToDate>
  <CharactersWithSpaces>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Daley</dc:creator>
  <cp:keywords/>
  <dc:description/>
  <cp:lastModifiedBy>Ryan Daley</cp:lastModifiedBy>
  <cp:revision>1</cp:revision>
  <dcterms:created xsi:type="dcterms:W3CDTF">2026-06-09T02:05:00Z</dcterms:created>
  <dcterms:modified xsi:type="dcterms:W3CDTF">2026-06-09T02:10:00Z</dcterms:modified>
</cp:coreProperties>
</file>